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F2" w:rsidRPr="00C42205" w:rsidRDefault="00C42205" w:rsidP="00C42205">
      <w:pPr>
        <w:jc w:val="center"/>
        <w:rPr>
          <w:rStyle w:val="articletitle"/>
          <w:rFonts w:ascii="瀹��" w:eastAsia="瀹��"/>
          <w:b/>
          <w:bCs/>
          <w:color w:val="474747"/>
          <w:sz w:val="30"/>
          <w:szCs w:val="30"/>
        </w:rPr>
      </w:pPr>
      <w:r w:rsidRPr="00C42205">
        <w:rPr>
          <w:rStyle w:val="articletitle"/>
          <w:rFonts w:ascii="瀹��" w:eastAsia="瀹��" w:hint="eastAsia"/>
          <w:b/>
          <w:bCs/>
          <w:color w:val="474747"/>
          <w:sz w:val="30"/>
          <w:szCs w:val="30"/>
        </w:rPr>
        <w:t>东南大学硕士研究生中期考核与筛选办法</w:t>
      </w:r>
    </w:p>
    <w:p w:rsidR="00C42205" w:rsidRDefault="00C42205" w:rsidP="00C42205">
      <w:pPr>
        <w:pStyle w:val="48"/>
        <w:spacing w:before="240" w:beforeAutospacing="0" w:after="240" w:afterAutospacing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为了促进研究生德智体全面发展，鼓励先进，鞭策后进，确保研究生培养质量，根据教育部关于对在校研究生建立必要的筛选制度的精神，结合我校实际，特制定本办法。</w:t>
      </w:r>
    </w:p>
    <w:p w:rsidR="00C42205" w:rsidRDefault="00C42205" w:rsidP="00C42205">
      <w:pPr>
        <w:pStyle w:val="48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一、考核对象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在校硕士研究生在进入学位论文工作前，各院（系、所）应对研究生的思想品德、学业成绩、业务能力等进行全面考核。</w:t>
      </w:r>
    </w:p>
    <w:p w:rsidR="00C42205" w:rsidRDefault="00C42205" w:rsidP="00C42205">
      <w:pPr>
        <w:pStyle w:val="21"/>
        <w:spacing w:before="240" w:beforeAutospacing="0" w:after="240" w:afterAutospacing="0" w:line="360" w:lineRule="atLeast"/>
        <w:ind w:firstLineChars="206" w:firstLine="433"/>
        <w:rPr>
          <w:sz w:val="21"/>
          <w:szCs w:val="21"/>
        </w:rPr>
      </w:pPr>
    </w:p>
    <w:p w:rsidR="00C42205" w:rsidRDefault="00C42205" w:rsidP="00C42205">
      <w:pPr>
        <w:pStyle w:val="21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二、考核时间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rFonts w:ascii="Times New Roman" w:hAnsi="Times New Roman" w:cs="Times New Roman"/>
        </w:rPr>
      </w:pPr>
      <w:r w:rsidRPr="009A7C49">
        <w:rPr>
          <w:rFonts w:ascii="Times New Roman" w:hAnsi="Times New Roman" w:cs="Times New Roman"/>
          <w:color w:val="FF0000"/>
        </w:rPr>
        <w:t>中期考核与筛选安排在硕士生入学后的第三学期末进行（三年制研究生顺延半年</w:t>
      </w:r>
      <w:r>
        <w:rPr>
          <w:rFonts w:ascii="Times New Roman" w:hAnsi="Times New Roman" w:cs="Times New Roman"/>
        </w:rPr>
        <w:t>）。因客观原因无法按时参加中期考核者应事先提出延期申请，经导师、所在单位及研究生院审批同意后可一次性延期一学期参加中期考核。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三、考核内容</w:t>
      </w:r>
      <w:r>
        <w:rPr>
          <w:rFonts w:ascii="Times New Roman" w:hAnsi="Times New Roman" w:cs="Times New Roman"/>
        </w:rPr>
        <w:t>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考核内容分素质考核与业务考核两部分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、素质考核内容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）学习马克思主义基本理论、坚持四项基本原则、遵守国家和学校各项规章制度等方面的思想状况与行为表现。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）治学态度、工作作风、道德素质与团结协作精神。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、业务考核内容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）在规定的时间内，硕士生培养方案中课程学习（成绩与学分）的完成情况。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）一定的科研工作能力和科研素质。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）开题报告完成情况和质量。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四、考核标准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、考核认定的思想品德端正、学习成绩好、具有一定的科研能力者，可继续进行硕士学位论文工作。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、考核中如具有下列情况之一者，受筛选警告：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lastRenderedPageBreak/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）政治思想、道德品质表现较差；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方正书宋简体" w:eastAsia="黑体" w:hint="eastAsia"/>
        </w:rPr>
        <w:t>（</w:t>
      </w:r>
      <w:r>
        <w:rPr>
          <w:rFonts w:eastAsia="黑体"/>
        </w:rPr>
        <w:t>2</w:t>
      </w:r>
      <w:r>
        <w:rPr>
          <w:rFonts w:ascii="方正书宋简体" w:eastAsia="黑体" w:hint="eastAsia"/>
        </w:rPr>
        <w:t>）未完成培养方案规定的学位课程学分者；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）一门学位课程不及格或补考、重修后及格，且学位课程规格化加权平均分（见附则）</w:t>
      </w:r>
      <w:r>
        <w:rPr>
          <w:rFonts w:ascii="Times New Roman" w:hAnsi="Times New Roman" w:cs="Times New Roman"/>
        </w:rPr>
        <w:t>≤75</w:t>
      </w:r>
      <w:r>
        <w:rPr>
          <w:rFonts w:ascii="Times New Roman" w:hAnsi="Times New Roman" w:cs="Times New Roman"/>
        </w:rPr>
        <w:t>分；或虽无不及格学位课程但规格化加权平均分</w:t>
      </w:r>
      <w:r>
        <w:rPr>
          <w:rFonts w:ascii="Times New Roman" w:hAnsi="Times New Roman" w:cs="Times New Roman"/>
        </w:rPr>
        <w:t>≤70</w:t>
      </w:r>
      <w:r>
        <w:rPr>
          <w:rFonts w:ascii="Times New Roman" w:hAnsi="Times New Roman" w:cs="Times New Roman"/>
        </w:rPr>
        <w:t>分；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）因主观原因未按期完成开题报告，或第一次开题报告未通过且按规定重做后仍未通过者。</w:t>
      </w:r>
    </w:p>
    <w:p w:rsidR="00C42205" w:rsidRDefault="00C42205" w:rsidP="00C42205">
      <w:pPr>
        <w:pStyle w:val="21"/>
        <w:spacing w:before="240" w:beforeAutospacing="0" w:after="240" w:afterAutospacing="0" w:line="360" w:lineRule="atLeast"/>
        <w:ind w:firstLineChars="206" w:firstLine="433"/>
        <w:rPr>
          <w:sz w:val="21"/>
          <w:szCs w:val="21"/>
        </w:rPr>
      </w:pPr>
    </w:p>
    <w:p w:rsidR="00C42205" w:rsidRDefault="00C42205" w:rsidP="00C42205">
      <w:pPr>
        <w:pStyle w:val="21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五、筛选办法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对于受筛选警告者，由所在院（系、所）考核，认为有继续培养前途的，可进入学位论文工作阶段，但学位论文必须由研究生院匿名送审，达到答辩要求的，可以组织学位论文答辩，答辩通过后，可以颁发硕士研究生毕业证书，符合学位授予条件，经学校学位评定委员会评审通过后，可以颁发硕士学位证书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若院（系、所）考核后，认为不适合继续培养的，由院（系、所）向研究生院提出终止受筛选警告研究生学业的报告，经研究生院审核后报校长会议讨论批准退学。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无故不参加中期考核按退学处理。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</w:p>
    <w:p w:rsidR="00C42205" w:rsidRDefault="00C42205" w:rsidP="00C42205">
      <w:pPr>
        <w:pStyle w:val="21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六、组织与考核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、研究生院在规定时间向各院（系、所）提出受筛选警告的硕士生名单，各院（系、所）对名单上硕士生进行考核，并将考核结果于规定时间内报研究生院审核；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、受筛选警告的研究生须填写《硕士生中期筛选考核表》，报研究生院审核后返还院（系、所）研究生秘书放入研究生档案袋。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Style w:val="33char"/>
          <w:rFonts w:ascii="Times New Roman" w:hAnsi="Times New Roman" w:cs="Times New Roman"/>
        </w:rPr>
        <w:t>3</w:t>
      </w:r>
      <w:r>
        <w:rPr>
          <w:rStyle w:val="33char"/>
          <w:rFonts w:ascii="Times New Roman" w:hAnsi="Times New Roman" w:cs="Times New Roman"/>
        </w:rPr>
        <w:t>、未列入受筛选警告名单中的硕士生均应填写《研究生中期考核表》，并交院（系、所）研究生秘书放入研究生</w:t>
      </w:r>
      <w:r>
        <w:rPr>
          <w:rFonts w:ascii="Times New Roman" w:eastAsia="方正书宋简体" w:hAnsi="Times New Roman" w:cs="Times New Roman" w:hint="eastAsia"/>
        </w:rPr>
        <w:t>档案袋。</w:t>
      </w:r>
    </w:p>
    <w:p w:rsidR="00C42205" w:rsidRDefault="00C42205" w:rsidP="00C42205">
      <w:pPr>
        <w:pStyle w:val="21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七、本办法由研究生院负责解释。</w:t>
      </w:r>
    </w:p>
    <w:p w:rsidR="00C42205" w:rsidRDefault="00C42205" w:rsidP="00C42205">
      <w:pPr>
        <w:pStyle w:val="42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t>附：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规格化加权平均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处理方法</w:t>
      </w:r>
    </w:p>
    <w:p w:rsidR="00C42205" w:rsidRDefault="00C42205" w:rsidP="00C42205">
      <w:pPr>
        <w:pStyle w:val="42"/>
        <w:spacing w:before="240" w:beforeAutospacing="0" w:after="240" w:afterAutospacing="0" w:line="360" w:lineRule="atLeast"/>
        <w:rPr>
          <w:sz w:val="21"/>
          <w:szCs w:val="21"/>
        </w:rPr>
      </w:pPr>
      <w:r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、规格化：将研究生每门课程成绩的平均值平移至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分。即将所有参考研究生的该课程成绩累加后求出平均值（四舍五入），比如</w:t>
      </w:r>
      <w:r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>分，则考分为</w:t>
      </w:r>
      <w:r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>分研究生的规格化成绩为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分。一般地，对每一研究生第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门课程规格化成绩</w:t>
      </w:r>
      <w:r>
        <w:rPr>
          <w:rFonts w:ascii="Times New Roman" w:hAnsi="Times New Roman" w:cs="Times New Roman"/>
        </w:rPr>
        <w:t>Ni=</w:t>
      </w:r>
      <w:r>
        <w:rPr>
          <w:rFonts w:ascii="Times New Roman" w:hAnsi="Times New Roman" w:cs="Times New Roman"/>
        </w:rPr>
        <w:t>考试成绩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80-</w:t>
      </w:r>
      <w:r>
        <w:rPr>
          <w:rFonts w:ascii="Times New Roman" w:hAnsi="Times New Roman" w:cs="Times New Roman"/>
        </w:rPr>
        <w:t>平均成绩）</w:t>
      </w:r>
    </w:p>
    <w:p w:rsidR="00C42205" w:rsidRDefault="00C42205" w:rsidP="00C42205">
      <w:pPr>
        <w:pStyle w:val="33"/>
        <w:spacing w:before="240" w:beforeAutospacing="0" w:after="240" w:afterAutospacing="0" w:line="360" w:lineRule="atLeast"/>
        <w:rPr>
          <w:rFonts w:ascii="Times New Roman" w:eastAsia="方正书宋简体" w:hAnsi="Times New Roman" w:cs="Times New Roman"/>
          <w:kern w:val="2"/>
          <w:position w:val="-32"/>
          <w:sz w:val="21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、加权平均：将研究生各门课程的规格化成绩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按学分</w:t>
      </w:r>
      <w:proofErr w:type="spellStart"/>
      <w:r>
        <w:rPr>
          <w:rFonts w:ascii="Times New Roman" w:hAnsi="Times New Roman" w:cs="Times New Roman"/>
        </w:rPr>
        <w:t>Ci</w:t>
      </w:r>
      <w:proofErr w:type="spellEnd"/>
      <w:r>
        <w:rPr>
          <w:rFonts w:ascii="Times New Roman" w:hAnsi="Times New Roman" w:cs="Times New Roman"/>
        </w:rPr>
        <w:t>加权平均后，即得到该研究生的规格化平均分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：即：</w:t>
      </w:r>
      <w:r>
        <w:rPr>
          <w:rFonts w:ascii="Times New Roman" w:eastAsia="方正书宋简体" w:hAnsi="Times New Roman" w:cs="Times New Roman"/>
          <w:noProof/>
          <w:kern w:val="2"/>
          <w:position w:val="-32"/>
          <w:sz w:val="21"/>
        </w:rPr>
        <w:t xml:space="preserve"> </w:t>
      </w:r>
      <w:r>
        <w:rPr>
          <w:rFonts w:ascii="Times New Roman" w:eastAsia="方正书宋简体" w:hAnsi="Times New Roman" w:cs="Times New Roman"/>
          <w:noProof/>
          <w:kern w:val="2"/>
          <w:position w:val="-32"/>
          <w:sz w:val="21"/>
        </w:rPr>
        <w:drawing>
          <wp:inline distT="0" distB="0" distL="0" distR="0">
            <wp:extent cx="942975" cy="485775"/>
            <wp:effectExtent l="0" t="0" r="0" b="0"/>
            <wp:docPr id="1" name="图片 1" descr="http://seugs.seu.edu.cn/_upload/article/images/f1/5c/8b70310b45e2b08147d334d2a677/8b06b137-ba32-472b-97fc-a84cf6625f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ugs.seu.edu.cn/_upload/article/images/f1/5c/8b70310b45e2b08147d334d2a677/8b06b137-ba32-472b-97fc-a84cf6625f7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05" w:rsidRPr="00235B6E" w:rsidRDefault="00C42205" w:rsidP="00C42205">
      <w:pPr>
        <w:pStyle w:val="33"/>
        <w:spacing w:before="240" w:beforeAutospacing="0" w:after="240" w:afterAutospacing="0" w:line="360" w:lineRule="atLeast"/>
        <w:jc w:val="right"/>
        <w:rPr>
          <w:sz w:val="28"/>
          <w:szCs w:val="28"/>
        </w:rPr>
      </w:pPr>
      <w:r w:rsidRPr="00235B6E">
        <w:rPr>
          <w:rFonts w:ascii="Times New Roman" w:eastAsia="方正书宋简体" w:hAnsi="Times New Roman" w:cs="Times New Roman" w:hint="eastAsia"/>
          <w:kern w:val="2"/>
          <w:position w:val="-32"/>
          <w:sz w:val="28"/>
          <w:szCs w:val="28"/>
        </w:rPr>
        <w:t>2017.4.28</w:t>
      </w:r>
    </w:p>
    <w:p w:rsidR="00C42205" w:rsidRPr="00C42205" w:rsidRDefault="00C42205"/>
    <w:sectPr w:rsidR="00C42205" w:rsidRPr="00C42205" w:rsidSect="00AB1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73" w:rsidRDefault="00E82373" w:rsidP="00235B6E">
      <w:r>
        <w:separator/>
      </w:r>
    </w:p>
  </w:endnote>
  <w:endnote w:type="continuationSeparator" w:id="0">
    <w:p w:rsidR="00E82373" w:rsidRDefault="00E82373" w:rsidP="0023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73" w:rsidRDefault="00E82373" w:rsidP="00235B6E">
      <w:r>
        <w:separator/>
      </w:r>
    </w:p>
  </w:footnote>
  <w:footnote w:type="continuationSeparator" w:id="0">
    <w:p w:rsidR="00E82373" w:rsidRDefault="00E82373" w:rsidP="00235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205"/>
    <w:rsid w:val="00235B6E"/>
    <w:rsid w:val="008B7068"/>
    <w:rsid w:val="009A7C49"/>
    <w:rsid w:val="009F50DA"/>
    <w:rsid w:val="00AB11F2"/>
    <w:rsid w:val="00B87CF0"/>
    <w:rsid w:val="00C42205"/>
    <w:rsid w:val="00E8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42205"/>
  </w:style>
  <w:style w:type="paragraph" w:customStyle="1" w:styleId="48">
    <w:name w:val="48"/>
    <w:basedOn w:val="a"/>
    <w:rsid w:val="00C422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C422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3">
    <w:name w:val="33"/>
    <w:basedOn w:val="a"/>
    <w:rsid w:val="00C422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">
    <w:name w:val="20"/>
    <w:basedOn w:val="a"/>
    <w:rsid w:val="00C422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3char">
    <w:name w:val="33char"/>
    <w:basedOn w:val="a0"/>
    <w:rsid w:val="00C42205"/>
  </w:style>
  <w:style w:type="paragraph" w:customStyle="1" w:styleId="42">
    <w:name w:val="42"/>
    <w:basedOn w:val="a"/>
    <w:rsid w:val="00C422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422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220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5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5B6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5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5B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2018-06-01T06:25:00Z</dcterms:created>
  <dcterms:modified xsi:type="dcterms:W3CDTF">2018-06-01T06:40:00Z</dcterms:modified>
</cp:coreProperties>
</file>